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D2C4" w14:textId="071C7000" w:rsidR="00331A0B" w:rsidRDefault="00141DF8" w:rsidP="00141DF8">
      <w:pPr>
        <w:jc w:val="center"/>
        <w:rPr>
          <w:rFonts w:ascii="Baskerville" w:hAnsi="Baskerville"/>
        </w:rPr>
      </w:pPr>
      <w:r>
        <w:rPr>
          <w:rFonts w:ascii="Baskerville" w:hAnsi="Baskerville"/>
        </w:rPr>
        <w:t>Carol Senf</w:t>
      </w:r>
    </w:p>
    <w:p w14:paraId="766BC451" w14:textId="49A2F0FC" w:rsidR="00141DF8" w:rsidRDefault="00141DF8" w:rsidP="00141DF8">
      <w:pPr>
        <w:jc w:val="center"/>
        <w:rPr>
          <w:rFonts w:ascii="Baskerville" w:hAnsi="Baskerville"/>
        </w:rPr>
      </w:pPr>
      <w:r>
        <w:rPr>
          <w:rFonts w:ascii="Baskerville" w:hAnsi="Baskerville"/>
        </w:rPr>
        <w:t>Professor, LMC</w:t>
      </w:r>
    </w:p>
    <w:p w14:paraId="2E2CE6A5" w14:textId="6698D10A" w:rsidR="00141DF8" w:rsidRDefault="00141DF8" w:rsidP="00141DF8">
      <w:pPr>
        <w:jc w:val="center"/>
        <w:rPr>
          <w:rFonts w:ascii="Baskerville" w:hAnsi="Baskerville"/>
        </w:rPr>
      </w:pPr>
      <w:r>
        <w:rPr>
          <w:rFonts w:ascii="Baskerville" w:hAnsi="Baskerville"/>
        </w:rPr>
        <w:t>Campus Location, Skiles 360, 404-894-7003 (work), 404-406-5871 (mobile)</w:t>
      </w:r>
    </w:p>
    <w:p w14:paraId="53376091" w14:textId="1F0CF572" w:rsidR="00BD384A" w:rsidRDefault="00BD384A" w:rsidP="00141DF8">
      <w:pPr>
        <w:jc w:val="center"/>
        <w:rPr>
          <w:rFonts w:ascii="Baskerville" w:hAnsi="Baskerville"/>
        </w:rPr>
      </w:pPr>
      <w:hyperlink r:id="rId5" w:history="1">
        <w:r w:rsidRPr="004C5A1E">
          <w:rPr>
            <w:rStyle w:val="Hyperlink"/>
            <w:rFonts w:ascii="Baskerville" w:hAnsi="Baskerville"/>
          </w:rPr>
          <w:t>https://lmc.gatech.edu/people/person/carol-senf</w:t>
        </w:r>
      </w:hyperlink>
    </w:p>
    <w:p w14:paraId="7AE64E0C" w14:textId="77777777" w:rsidR="00BD384A" w:rsidRDefault="00BD384A" w:rsidP="00141DF8">
      <w:pPr>
        <w:jc w:val="center"/>
        <w:rPr>
          <w:rFonts w:ascii="Baskerville" w:hAnsi="Baskerville"/>
        </w:rPr>
      </w:pPr>
    </w:p>
    <w:p w14:paraId="60F10336" w14:textId="27FBF80A" w:rsidR="00141DF8" w:rsidRDefault="00141DF8">
      <w:pPr>
        <w:rPr>
          <w:rFonts w:ascii="Baskerville" w:hAnsi="Baskerville"/>
        </w:rPr>
      </w:pPr>
      <w:r>
        <w:rPr>
          <w:rFonts w:ascii="Baskerville" w:hAnsi="Baskerville"/>
          <w:b/>
          <w:bCs/>
        </w:rPr>
        <w:t>RESEARCH INTERESTS</w:t>
      </w:r>
      <w:r>
        <w:rPr>
          <w:rFonts w:ascii="Baskerville" w:hAnsi="Baskerville"/>
        </w:rPr>
        <w:t>:</w:t>
      </w:r>
    </w:p>
    <w:p w14:paraId="2EA491F0" w14:textId="69AD26E7" w:rsidR="00141DF8" w:rsidRDefault="00141DF8">
      <w:pPr>
        <w:rPr>
          <w:rFonts w:ascii="Baskerville" w:hAnsi="Baskerville"/>
        </w:rPr>
      </w:pPr>
      <w:r>
        <w:rPr>
          <w:rFonts w:ascii="Baskerville" w:hAnsi="Baskerville"/>
        </w:rPr>
        <w:t>Literature and culture of the Long Nineteenth Century; the Gothic; women writers; literature and science</w:t>
      </w:r>
    </w:p>
    <w:p w14:paraId="34CFD310" w14:textId="19F2975F" w:rsidR="00141DF8" w:rsidRDefault="00141DF8">
      <w:pPr>
        <w:rPr>
          <w:rFonts w:ascii="Baskerville" w:hAnsi="Baskerville"/>
          <w:b/>
          <w:bCs/>
        </w:rPr>
      </w:pPr>
      <w:r>
        <w:rPr>
          <w:rFonts w:ascii="Baskerville" w:hAnsi="Baskerville"/>
          <w:b/>
          <w:bCs/>
        </w:rPr>
        <w:t>EDUCATION:</w:t>
      </w:r>
    </w:p>
    <w:p w14:paraId="119DC6AB" w14:textId="41BA6748" w:rsidR="00141DF8" w:rsidRDefault="00141DF8">
      <w:pPr>
        <w:rPr>
          <w:rFonts w:ascii="Baskerville" w:hAnsi="Baskerville"/>
        </w:rPr>
      </w:pPr>
      <w:r>
        <w:rPr>
          <w:rFonts w:ascii="Baskerville" w:hAnsi="Baskerville"/>
        </w:rPr>
        <w:t>PhD in English (Victorian Studies)</w:t>
      </w:r>
      <w:r>
        <w:rPr>
          <w:rFonts w:ascii="Baskerville" w:hAnsi="Baskerville"/>
        </w:rPr>
        <w:tab/>
      </w:r>
      <w:r>
        <w:rPr>
          <w:rFonts w:ascii="Baskerville" w:hAnsi="Baskerville"/>
        </w:rPr>
        <w:tab/>
      </w:r>
      <w:r>
        <w:rPr>
          <w:rFonts w:ascii="Baskerville" w:hAnsi="Baskerville"/>
        </w:rPr>
        <w:tab/>
        <w:t>December 1979</w:t>
      </w:r>
    </w:p>
    <w:p w14:paraId="07725D89" w14:textId="2B4E026B" w:rsidR="00141DF8" w:rsidRDefault="00141DF8">
      <w:pPr>
        <w:rPr>
          <w:rFonts w:ascii="Baskerville" w:hAnsi="Baskerville"/>
        </w:rPr>
      </w:pPr>
      <w:r>
        <w:rPr>
          <w:rFonts w:ascii="Baskerville" w:hAnsi="Baskerville"/>
        </w:rPr>
        <w:tab/>
        <w:t>SUNY Buffalo</w:t>
      </w:r>
      <w:r>
        <w:rPr>
          <w:rFonts w:ascii="Baskerville" w:hAnsi="Baskerville"/>
        </w:rPr>
        <w:tab/>
      </w:r>
      <w:r>
        <w:rPr>
          <w:rFonts w:ascii="Baskerville" w:hAnsi="Baskerville"/>
        </w:rPr>
        <w:tab/>
      </w:r>
      <w:r>
        <w:rPr>
          <w:rFonts w:ascii="Baskerville" w:hAnsi="Baskerville"/>
        </w:rPr>
        <w:tab/>
      </w:r>
      <w:r>
        <w:rPr>
          <w:rFonts w:ascii="Baskerville" w:hAnsi="Baskerville"/>
        </w:rPr>
        <w:tab/>
      </w:r>
      <w:r>
        <w:rPr>
          <w:rFonts w:ascii="Baskerville" w:hAnsi="Baskerville"/>
        </w:rPr>
        <w:tab/>
        <w:t>Buffalo, New York</w:t>
      </w:r>
    </w:p>
    <w:p w14:paraId="5170805F" w14:textId="472C4E86" w:rsidR="00141DF8" w:rsidRDefault="00141DF8">
      <w:pPr>
        <w:rPr>
          <w:rFonts w:ascii="Baskerville" w:hAnsi="Baskerville"/>
        </w:rPr>
      </w:pPr>
      <w:r>
        <w:rPr>
          <w:rFonts w:ascii="Baskerville" w:hAnsi="Baskerville"/>
        </w:rPr>
        <w:t>M.A. in English</w:t>
      </w:r>
      <w:r>
        <w:rPr>
          <w:rFonts w:ascii="Baskerville" w:hAnsi="Baskerville"/>
        </w:rPr>
        <w:tab/>
      </w:r>
      <w:r>
        <w:rPr>
          <w:rFonts w:ascii="Baskerville" w:hAnsi="Baskerville"/>
        </w:rPr>
        <w:tab/>
      </w:r>
      <w:r>
        <w:rPr>
          <w:rFonts w:ascii="Baskerville" w:hAnsi="Baskerville"/>
        </w:rPr>
        <w:tab/>
      </w:r>
      <w:r>
        <w:rPr>
          <w:rFonts w:ascii="Baskerville" w:hAnsi="Baskerville"/>
        </w:rPr>
        <w:tab/>
      </w:r>
      <w:r>
        <w:rPr>
          <w:rFonts w:ascii="Baskerville" w:hAnsi="Baskerville"/>
        </w:rPr>
        <w:tab/>
        <w:t>December 1971</w:t>
      </w:r>
    </w:p>
    <w:p w14:paraId="21718382" w14:textId="065ED51D" w:rsidR="00141DF8" w:rsidRDefault="00141DF8">
      <w:pPr>
        <w:rPr>
          <w:rFonts w:ascii="Baskerville" w:hAnsi="Baskerville"/>
        </w:rPr>
      </w:pPr>
      <w:r>
        <w:rPr>
          <w:rFonts w:ascii="Baskerville" w:hAnsi="Baskerville"/>
        </w:rPr>
        <w:tab/>
        <w:t>Miami University</w:t>
      </w:r>
      <w:r>
        <w:rPr>
          <w:rFonts w:ascii="Baskerville" w:hAnsi="Baskerville"/>
        </w:rPr>
        <w:tab/>
      </w:r>
      <w:r>
        <w:rPr>
          <w:rFonts w:ascii="Baskerville" w:hAnsi="Baskerville"/>
        </w:rPr>
        <w:tab/>
      </w:r>
      <w:r>
        <w:rPr>
          <w:rFonts w:ascii="Baskerville" w:hAnsi="Baskerville"/>
        </w:rPr>
        <w:tab/>
      </w:r>
      <w:r>
        <w:rPr>
          <w:rFonts w:ascii="Baskerville" w:hAnsi="Baskerville"/>
        </w:rPr>
        <w:tab/>
        <w:t>Oxford, Ohio</w:t>
      </w:r>
    </w:p>
    <w:p w14:paraId="65E832D4" w14:textId="5AA63724" w:rsidR="00141DF8" w:rsidRDefault="00141DF8">
      <w:pPr>
        <w:rPr>
          <w:rFonts w:ascii="Baskerville" w:hAnsi="Baskerville"/>
        </w:rPr>
      </w:pPr>
      <w:r>
        <w:rPr>
          <w:rFonts w:ascii="Baskerville" w:hAnsi="Baskerville"/>
        </w:rPr>
        <w:t>B.S.in English and speech</w:t>
      </w:r>
      <w:r>
        <w:rPr>
          <w:rFonts w:ascii="Baskerville" w:hAnsi="Baskerville"/>
        </w:rPr>
        <w:tab/>
      </w:r>
      <w:r>
        <w:rPr>
          <w:rFonts w:ascii="Baskerville" w:hAnsi="Baskerville"/>
        </w:rPr>
        <w:tab/>
      </w:r>
      <w:r>
        <w:rPr>
          <w:rFonts w:ascii="Baskerville" w:hAnsi="Baskerville"/>
        </w:rPr>
        <w:tab/>
      </w:r>
      <w:r>
        <w:rPr>
          <w:rFonts w:ascii="Baskerville" w:hAnsi="Baskerville"/>
        </w:rPr>
        <w:tab/>
        <w:t>December 196</w:t>
      </w:r>
      <w:r w:rsidR="00D96E83">
        <w:rPr>
          <w:rFonts w:ascii="Baskerville" w:hAnsi="Baskerville"/>
        </w:rPr>
        <w:t>8</w:t>
      </w:r>
    </w:p>
    <w:p w14:paraId="16C6C881" w14:textId="72A269F0" w:rsidR="00D96E83" w:rsidRDefault="00D96E83">
      <w:pPr>
        <w:rPr>
          <w:rFonts w:ascii="Baskerville" w:hAnsi="Baskerville"/>
        </w:rPr>
      </w:pPr>
      <w:r>
        <w:rPr>
          <w:rFonts w:ascii="Baskerville" w:hAnsi="Baskerville"/>
        </w:rPr>
        <w:tab/>
        <w:t>Miami University</w:t>
      </w:r>
      <w:r>
        <w:rPr>
          <w:rFonts w:ascii="Baskerville" w:hAnsi="Baskerville"/>
        </w:rPr>
        <w:tab/>
      </w:r>
      <w:r>
        <w:rPr>
          <w:rFonts w:ascii="Baskerville" w:hAnsi="Baskerville"/>
        </w:rPr>
        <w:tab/>
      </w:r>
      <w:r>
        <w:rPr>
          <w:rFonts w:ascii="Baskerville" w:hAnsi="Baskerville"/>
        </w:rPr>
        <w:tab/>
      </w:r>
      <w:r>
        <w:rPr>
          <w:rFonts w:ascii="Baskerville" w:hAnsi="Baskerville"/>
        </w:rPr>
        <w:tab/>
        <w:t>Oxford, Ohio</w:t>
      </w:r>
    </w:p>
    <w:p w14:paraId="19789C33" w14:textId="77777777" w:rsidR="00D96E83" w:rsidRDefault="00D96E83">
      <w:pPr>
        <w:rPr>
          <w:rFonts w:ascii="Baskerville" w:hAnsi="Baskerville"/>
          <w:b/>
          <w:bCs/>
        </w:rPr>
      </w:pPr>
      <w:r>
        <w:rPr>
          <w:rFonts w:ascii="Baskerville" w:hAnsi="Baskerville"/>
          <w:b/>
          <w:bCs/>
        </w:rPr>
        <w:t>TEACHING INTERESTS</w:t>
      </w:r>
    </w:p>
    <w:p w14:paraId="69813C71" w14:textId="2F8A9037" w:rsidR="00D96E83" w:rsidRPr="00D96E83" w:rsidRDefault="00D96E83">
      <w:pPr>
        <w:rPr>
          <w:rFonts w:ascii="Baskerville" w:hAnsi="Baskerville"/>
        </w:rPr>
      </w:pPr>
      <w:r>
        <w:rPr>
          <w:rFonts w:ascii="Baskerville" w:hAnsi="Baskerville"/>
        </w:rPr>
        <w:t>Professor Senf is interested in the literature of the Long Nineteenth Century, especially in showing students that literature is very much influenced by the science, social change, and politics of the time. In her LMC 3112: Evolution and the Industrial Age, she also introduces students to the Georgia Tech Archives, which includes materials from the first years at Georgia Tech as well as materials from the Fulton Bag and Cotton Mill. She is also interested in introducing students to works by women writers and writers of color.</w:t>
      </w:r>
    </w:p>
    <w:p w14:paraId="51696AED" w14:textId="38017ACB" w:rsidR="00D96E83" w:rsidRPr="00D96E83" w:rsidRDefault="00D96E83">
      <w:pPr>
        <w:rPr>
          <w:rFonts w:ascii="Baskerville" w:hAnsi="Baskerville"/>
          <w:b/>
          <w:bCs/>
        </w:rPr>
      </w:pPr>
      <w:r>
        <w:rPr>
          <w:rFonts w:ascii="Baskerville" w:hAnsi="Baskerville"/>
          <w:b/>
          <w:bCs/>
        </w:rPr>
        <w:t>RECENT PUBLICATIONS</w:t>
      </w:r>
    </w:p>
    <w:p w14:paraId="3884D214" w14:textId="77777777" w:rsidR="00D96E83" w:rsidRDefault="00D96E83" w:rsidP="00D96E83">
      <w:pPr>
        <w:spacing w:after="0" w:line="240" w:lineRule="auto"/>
        <w:rPr>
          <w:rFonts w:ascii="Times New Roman" w:hAnsi="Times New Roman" w:cs="Times New Roman"/>
        </w:rPr>
      </w:pPr>
      <w:r>
        <w:rPr>
          <w:rFonts w:ascii="Baskerville" w:hAnsi="Baskerville"/>
        </w:rPr>
        <w:t xml:space="preserve">1. </w:t>
      </w:r>
      <w:r>
        <w:rPr>
          <w:rFonts w:ascii="Times New Roman" w:hAnsi="Times New Roman" w:cs="Times New Roman"/>
        </w:rPr>
        <w:t xml:space="preserve">Carol A. Senf, “The Paradigm of Dracula: 100 Years of Evolution,” in </w:t>
      </w:r>
      <w:r>
        <w:rPr>
          <w:rFonts w:ascii="Times New Roman" w:hAnsi="Times New Roman" w:cs="Times New Roman"/>
          <w:i/>
        </w:rPr>
        <w:t>The Vampire: An Edinburgh Companion</w:t>
      </w:r>
      <w:r>
        <w:rPr>
          <w:rFonts w:ascii="Times New Roman" w:hAnsi="Times New Roman" w:cs="Times New Roman"/>
        </w:rPr>
        <w:t>. Ed. William Hughes and Simon Bacon. Edinburgh U Press, 2025, 95 – 111.</w:t>
      </w:r>
    </w:p>
    <w:p w14:paraId="6E56E5A2" w14:textId="77777777" w:rsidR="00D96E83" w:rsidRDefault="00D96E83" w:rsidP="00D96E83">
      <w:pPr>
        <w:pStyle w:val="NormalWeb"/>
      </w:pPr>
      <w:r>
        <w:t xml:space="preserve">2. Carol Senf, “Exploring Women’s Possibilities at the Fin de Siècle: Sarah Grand’s Quest for Women’s Enlightenment,” </w:t>
      </w:r>
      <w:r>
        <w:rPr>
          <w:i/>
          <w:iCs/>
        </w:rPr>
        <w:t>British Women’s Writing from Bronte to Bloomsbury</w:t>
      </w:r>
      <w:r>
        <w:t>, Ed. Adrienne E. Gavin and Carolyn W. de La L. Oulton. Cham, Switzerland: Palgrave Macmillan, 2024, 177 – 190.</w:t>
      </w:r>
    </w:p>
    <w:p w14:paraId="15670152" w14:textId="43B466CC" w:rsidR="00D96E83" w:rsidRDefault="00D96E83" w:rsidP="00D96E83">
      <w:pPr>
        <w:pStyle w:val="NormalWeb"/>
        <w:rPr>
          <w:rFonts w:ascii="TimesNewRomanPSMT" w:hAnsi="TimesNewRomanPSMT"/>
        </w:rPr>
      </w:pPr>
      <w:r>
        <w:lastRenderedPageBreak/>
        <w:t xml:space="preserve">3. Carol Senf, </w:t>
      </w:r>
      <w:r w:rsidRPr="009D7DB9">
        <w:rPr>
          <w:rFonts w:ascii="TimesNewRomanPSMT" w:hAnsi="TimesNewRomanPSMT"/>
        </w:rPr>
        <w:t xml:space="preserve">“Fred Saberhagen’s Dracula” The Vampire as </w:t>
      </w:r>
      <w:r>
        <w:rPr>
          <w:rFonts w:ascii="TimesNewRomanPSMT" w:hAnsi="TimesNewRomanPSMT"/>
        </w:rPr>
        <w:t>N</w:t>
      </w:r>
      <w:r w:rsidRPr="009D7DB9">
        <w:rPr>
          <w:rFonts w:ascii="TimesNewRomanPSMT" w:hAnsi="TimesNewRomanPSMT"/>
        </w:rPr>
        <w:t xml:space="preserve">eo-Victorian Hero,” </w:t>
      </w:r>
      <w:r w:rsidRPr="009D7DB9">
        <w:rPr>
          <w:rFonts w:ascii="TimesNewRomanPS" w:hAnsi="TimesNewRomanPS"/>
          <w:i/>
          <w:iCs/>
        </w:rPr>
        <w:t xml:space="preserve">The Palgrave Handbook of Neo-Victorianism, </w:t>
      </w:r>
      <w:r w:rsidRPr="009D7DB9">
        <w:rPr>
          <w:rFonts w:ascii="TimesNewRomanPSMT" w:hAnsi="TimesNewRomanPSMT"/>
        </w:rPr>
        <w:t xml:space="preserve">Ed. Brenda Ayres and Sarah E. Maier. Palgrave Macmillan, 2024, 159 – 175. </w:t>
      </w:r>
    </w:p>
    <w:p w14:paraId="156D2A4A" w14:textId="090B4826" w:rsidR="00D96E83" w:rsidRDefault="00D96E83" w:rsidP="00D96E83">
      <w:pPr>
        <w:spacing w:after="0" w:line="240" w:lineRule="auto"/>
        <w:rPr>
          <w:rFonts w:ascii="Times New Roman" w:hAnsi="Times New Roman" w:cs="Times New Roman"/>
        </w:rPr>
      </w:pPr>
      <w:r>
        <w:rPr>
          <w:rFonts w:ascii="Times New Roman" w:hAnsi="Times New Roman" w:cs="Times New Roman"/>
        </w:rPr>
        <w:t>4. Carol Senf, “</w:t>
      </w:r>
      <w:r>
        <w:rPr>
          <w:rFonts w:ascii="Times New Roman" w:hAnsi="Times New Roman" w:cs="Times New Roman"/>
          <w:i/>
          <w:iCs/>
        </w:rPr>
        <w:t>Dracula</w:t>
      </w:r>
      <w:r>
        <w:rPr>
          <w:rFonts w:ascii="Times New Roman" w:hAnsi="Times New Roman" w:cs="Times New Roman"/>
        </w:rPr>
        <w:t xml:space="preserve">, Blood, and the New Woman: Stoker’s Reflections on the Zeitgeist,” </w:t>
      </w:r>
      <w:r>
        <w:rPr>
          <w:rFonts w:ascii="Times New Roman" w:hAnsi="Times New Roman" w:cs="Times New Roman"/>
          <w:i/>
          <w:iCs/>
        </w:rPr>
        <w:t xml:space="preserve">Blood </w:t>
      </w:r>
      <w:r>
        <w:rPr>
          <w:rFonts w:ascii="Times New Roman" w:hAnsi="Times New Roman" w:cs="Times New Roman"/>
        </w:rPr>
        <w:t xml:space="preserve">(The Darwin College Lectures), Ed. </w:t>
      </w:r>
      <w:proofErr w:type="spellStart"/>
      <w:r>
        <w:rPr>
          <w:rFonts w:ascii="Times New Roman" w:hAnsi="Times New Roman" w:cs="Times New Roman"/>
        </w:rPr>
        <w:t>Iosifina</w:t>
      </w:r>
      <w:proofErr w:type="spellEnd"/>
      <w:r>
        <w:rPr>
          <w:rFonts w:ascii="Times New Roman" w:hAnsi="Times New Roman" w:cs="Times New Roman"/>
        </w:rPr>
        <w:t xml:space="preserve"> </w:t>
      </w:r>
      <w:proofErr w:type="spellStart"/>
      <w:r>
        <w:rPr>
          <w:rFonts w:ascii="Times New Roman" w:hAnsi="Times New Roman" w:cs="Times New Roman"/>
        </w:rPr>
        <w:t>Foskolou</w:t>
      </w:r>
      <w:proofErr w:type="spellEnd"/>
      <w:r>
        <w:rPr>
          <w:rFonts w:ascii="Times New Roman" w:hAnsi="Times New Roman" w:cs="Times New Roman"/>
        </w:rPr>
        <w:t xml:space="preserve"> and Martin Jones. Cambridge University Press, 2022, 65 – 83.</w:t>
      </w:r>
    </w:p>
    <w:p w14:paraId="5E130DB7" w14:textId="77777777" w:rsidR="00D96E83" w:rsidRDefault="00D96E83" w:rsidP="00D96E83">
      <w:pPr>
        <w:pStyle w:val="NormalWeb"/>
      </w:pPr>
    </w:p>
    <w:p w14:paraId="3B6589FF" w14:textId="2BAA5E63" w:rsidR="00D96E83" w:rsidRDefault="00D96E83" w:rsidP="00D96E83">
      <w:pPr>
        <w:pStyle w:val="NormalWeb"/>
      </w:pPr>
    </w:p>
    <w:p w14:paraId="0232AADE" w14:textId="16B4724A" w:rsidR="00D96E83" w:rsidRPr="0010552B" w:rsidRDefault="00D96E83" w:rsidP="00D96E83">
      <w:pPr>
        <w:spacing w:after="0" w:line="240" w:lineRule="auto"/>
        <w:rPr>
          <w:rFonts w:ascii="Times New Roman" w:hAnsi="Times New Roman" w:cs="Times New Roman"/>
        </w:rPr>
      </w:pPr>
    </w:p>
    <w:p w14:paraId="2AFB9B77" w14:textId="5A7C165E" w:rsidR="00141DF8" w:rsidRPr="00141DF8" w:rsidRDefault="00141DF8">
      <w:pPr>
        <w:rPr>
          <w:rFonts w:ascii="Baskerville" w:hAnsi="Baskerville"/>
        </w:rPr>
      </w:pPr>
    </w:p>
    <w:sectPr w:rsidR="00141DF8" w:rsidRPr="00141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34B06"/>
    <w:multiLevelType w:val="hybridMultilevel"/>
    <w:tmpl w:val="F7B806E8"/>
    <w:lvl w:ilvl="0" w:tplc="3290128C">
      <w:start w:val="1"/>
      <w:numFmt w:val="decimal"/>
      <w:lvlText w:val="%1."/>
      <w:lvlJc w:val="left"/>
      <w:pPr>
        <w:ind w:left="2080" w:hanging="6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2080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05"/>
    <w:rsid w:val="00036665"/>
    <w:rsid w:val="00075789"/>
    <w:rsid w:val="00080BA7"/>
    <w:rsid w:val="00141DF8"/>
    <w:rsid w:val="00202DA3"/>
    <w:rsid w:val="00274105"/>
    <w:rsid w:val="00331A0B"/>
    <w:rsid w:val="00360441"/>
    <w:rsid w:val="005B2C60"/>
    <w:rsid w:val="00A570C6"/>
    <w:rsid w:val="00BD384A"/>
    <w:rsid w:val="00D9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ADDF3"/>
  <w15:chartTrackingRefBased/>
  <w15:docId w15:val="{3C4BA73B-162C-C344-BCC6-D46616A5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105"/>
    <w:rPr>
      <w:rFonts w:eastAsiaTheme="majorEastAsia" w:cstheme="majorBidi"/>
      <w:color w:val="272727" w:themeColor="text1" w:themeTint="D8"/>
    </w:rPr>
  </w:style>
  <w:style w:type="paragraph" w:styleId="Title">
    <w:name w:val="Title"/>
    <w:basedOn w:val="Normal"/>
    <w:next w:val="Normal"/>
    <w:link w:val="TitleChar"/>
    <w:uiPriority w:val="10"/>
    <w:qFormat/>
    <w:rsid w:val="00274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105"/>
    <w:pPr>
      <w:spacing w:before="160"/>
      <w:jc w:val="center"/>
    </w:pPr>
    <w:rPr>
      <w:i/>
      <w:iCs/>
      <w:color w:val="404040" w:themeColor="text1" w:themeTint="BF"/>
    </w:rPr>
  </w:style>
  <w:style w:type="character" w:customStyle="1" w:styleId="QuoteChar">
    <w:name w:val="Quote Char"/>
    <w:basedOn w:val="DefaultParagraphFont"/>
    <w:link w:val="Quote"/>
    <w:uiPriority w:val="29"/>
    <w:rsid w:val="00274105"/>
    <w:rPr>
      <w:i/>
      <w:iCs/>
      <w:color w:val="404040" w:themeColor="text1" w:themeTint="BF"/>
    </w:rPr>
  </w:style>
  <w:style w:type="paragraph" w:styleId="ListParagraph">
    <w:name w:val="List Paragraph"/>
    <w:basedOn w:val="Normal"/>
    <w:uiPriority w:val="34"/>
    <w:qFormat/>
    <w:rsid w:val="00274105"/>
    <w:pPr>
      <w:ind w:left="720"/>
      <w:contextualSpacing/>
    </w:pPr>
  </w:style>
  <w:style w:type="character" w:styleId="IntenseEmphasis">
    <w:name w:val="Intense Emphasis"/>
    <w:basedOn w:val="DefaultParagraphFont"/>
    <w:uiPriority w:val="21"/>
    <w:qFormat/>
    <w:rsid w:val="00274105"/>
    <w:rPr>
      <w:i/>
      <w:iCs/>
      <w:color w:val="0F4761" w:themeColor="accent1" w:themeShade="BF"/>
    </w:rPr>
  </w:style>
  <w:style w:type="paragraph" w:styleId="IntenseQuote">
    <w:name w:val="Intense Quote"/>
    <w:basedOn w:val="Normal"/>
    <w:next w:val="Normal"/>
    <w:link w:val="IntenseQuoteChar"/>
    <w:uiPriority w:val="30"/>
    <w:qFormat/>
    <w:rsid w:val="00274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105"/>
    <w:rPr>
      <w:i/>
      <w:iCs/>
      <w:color w:val="0F4761" w:themeColor="accent1" w:themeShade="BF"/>
    </w:rPr>
  </w:style>
  <w:style w:type="character" w:styleId="IntenseReference">
    <w:name w:val="Intense Reference"/>
    <w:basedOn w:val="DefaultParagraphFont"/>
    <w:uiPriority w:val="32"/>
    <w:qFormat/>
    <w:rsid w:val="00274105"/>
    <w:rPr>
      <w:b/>
      <w:bCs/>
      <w:smallCaps/>
      <w:color w:val="0F4761" w:themeColor="accent1" w:themeShade="BF"/>
      <w:spacing w:val="5"/>
    </w:rPr>
  </w:style>
  <w:style w:type="paragraph" w:styleId="NormalWeb">
    <w:name w:val="Normal (Web)"/>
    <w:basedOn w:val="Normal"/>
    <w:uiPriority w:val="99"/>
    <w:semiHidden/>
    <w:unhideWhenUsed/>
    <w:rsid w:val="00D96E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D384A"/>
    <w:rPr>
      <w:color w:val="467886" w:themeColor="hyperlink"/>
      <w:u w:val="single"/>
    </w:rPr>
  </w:style>
  <w:style w:type="character" w:styleId="UnresolvedMention">
    <w:name w:val="Unresolved Mention"/>
    <w:basedOn w:val="DefaultParagraphFont"/>
    <w:uiPriority w:val="99"/>
    <w:semiHidden/>
    <w:unhideWhenUsed/>
    <w:rsid w:val="00BD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c.gatech.edu/people/person/carol-sen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Senf, Carol A</dc:creator>
  <cp:keywords/>
  <dc:description/>
  <cp:lastModifiedBy>Senf, Carol A</cp:lastModifiedBy>
  <cp:revision>2</cp:revision>
  <dcterms:created xsi:type="dcterms:W3CDTF">2025-10-20T18:52:00Z</dcterms:created>
  <dcterms:modified xsi:type="dcterms:W3CDTF">2025-10-20T19:25:00Z</dcterms:modified>
</cp:coreProperties>
</file>